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Сътрудничество между ЕС и НАТО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Инфографика — Съвместна декларация на ЕС и НАТО: изпълнение</w:t>
      </w:r>
      <w:r w:rsidR="00004B58" w:rsidRPr="001C6AA6">
        <w:rPr>
          <w:rStyle w:val="aa"/>
          <w:rFonts w:asciiTheme="majorHAnsi" w:eastAsia="Times New Roman" w:hAnsiTheme="majorHAnsi" w:cs="Times New Roman"/>
          <w:b/>
          <w:bCs/>
          <w:lang w:eastAsia="bg-BG"/>
        </w:rPr>
        <w:footnoteReference w:id="1"/>
      </w:r>
    </w:p>
    <w:p w:rsidR="000A0AEF" w:rsidRPr="001C6AA6" w:rsidRDefault="00477F8E" w:rsidP="00477F8E">
      <w:pPr>
        <w:spacing w:after="0" w:line="240" w:lineRule="auto"/>
        <w:rPr>
          <w:rFonts w:asciiTheme="majorHAnsi" w:hAnsiTheme="majorHAnsi"/>
        </w:rPr>
      </w:pPr>
      <w:r w:rsidRPr="001C6AA6">
        <w:rPr>
          <w:rFonts w:asciiTheme="majorHAnsi" w:eastAsia="Times New Roman" w:hAnsiTheme="majorHAnsi" w:cs="Times New Roman"/>
          <w:noProof/>
          <w:lang w:eastAsia="bg-BG"/>
        </w:rPr>
        <w:drawing>
          <wp:inline distT="0" distB="0" distL="0" distR="0">
            <wp:extent cx="5145405" cy="3432175"/>
            <wp:effectExtent l="19050" t="0" r="0" b="0"/>
            <wp:docPr id="1" name="Картина 1" descr="Инфографика за Съвместната декларация на ЕС и НАТ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графика за Съвместната декларация на ЕС и НАТО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43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На 8 юли 2016 г. ЕС и НАТО подписаха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съвместна декларация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за задълбочаване на сътрудничеството помежду си в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седем стратегически области</w:t>
      </w:r>
      <w:r w:rsidRPr="001C6AA6">
        <w:rPr>
          <w:rFonts w:asciiTheme="majorHAnsi" w:eastAsia="Times New Roman" w:hAnsiTheme="majorHAnsi" w:cs="Times New Roman"/>
          <w:lang w:eastAsia="bg-BG"/>
        </w:rPr>
        <w:t>, а именно:</w:t>
      </w:r>
    </w:p>
    <w:p w:rsidR="00477F8E" w:rsidRPr="001C6AA6" w:rsidRDefault="00477F8E" w:rsidP="00477F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хибридните заплахи</w:t>
      </w:r>
    </w:p>
    <w:p w:rsidR="00477F8E" w:rsidRPr="001C6AA6" w:rsidRDefault="00477F8E" w:rsidP="00477F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оперативното сътрудничество, включително в морската област</w:t>
      </w:r>
    </w:p>
    <w:p w:rsidR="00477F8E" w:rsidRPr="001C6AA6" w:rsidRDefault="00477F8E" w:rsidP="00477F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киберсигурността</w:t>
      </w:r>
    </w:p>
    <w:p w:rsidR="00477F8E" w:rsidRPr="001C6AA6" w:rsidRDefault="00477F8E" w:rsidP="00477F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отбранителните способности</w:t>
      </w:r>
    </w:p>
    <w:p w:rsidR="00477F8E" w:rsidRPr="001C6AA6" w:rsidRDefault="00477F8E" w:rsidP="00477F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промишлеността и научните изследвания</w:t>
      </w:r>
    </w:p>
    <w:p w:rsidR="00477F8E" w:rsidRPr="001C6AA6" w:rsidRDefault="00477F8E" w:rsidP="00477F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координираните учения</w:t>
      </w:r>
    </w:p>
    <w:p w:rsidR="00477F8E" w:rsidRPr="001C6AA6" w:rsidRDefault="00477F8E" w:rsidP="00477F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изграждането на капацитет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Впоследствие, на 6 декември 2016 г., Съветът одобри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общ набор от 42 предложения</w:t>
      </w:r>
      <w:r w:rsidRPr="001C6AA6">
        <w:rPr>
          <w:rFonts w:asciiTheme="majorHAnsi" w:eastAsia="Times New Roman" w:hAnsiTheme="majorHAnsi" w:cs="Times New Roman"/>
          <w:lang w:eastAsia="bg-BG"/>
        </w:rPr>
        <w:t>, който беше одобрен и от НАТО.</w:t>
      </w:r>
    </w:p>
    <w:p w:rsidR="00477F8E" w:rsidRPr="001C6AA6" w:rsidRDefault="00C97A09" w:rsidP="00477F8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9" w:tooltip="Външна връзка - Сътрудничество между ЕС и НАТО: Съветът приема заключения за прилагане на съвместната декларация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Сътрудничество между ЕС и НАТО: Съветът приема заключения за прилагане на съвместната декларация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На 5 декември 2017 г. Съветът одобри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нови предложения за конкретни действия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в области като:</w:t>
      </w:r>
    </w:p>
    <w:p w:rsidR="00477F8E" w:rsidRPr="001C6AA6" w:rsidRDefault="00477F8E" w:rsidP="00477F8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борбата с тероризма</w:t>
      </w:r>
    </w:p>
    <w:p w:rsidR="00477F8E" w:rsidRPr="001C6AA6" w:rsidRDefault="00477F8E" w:rsidP="00477F8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жените</w:t>
      </w:r>
    </w:p>
    <w:p w:rsidR="00477F8E" w:rsidRPr="001C6AA6" w:rsidRDefault="00477F8E" w:rsidP="00477F8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мира и сигурността</w:t>
      </w:r>
    </w:p>
    <w:p w:rsidR="00477F8E" w:rsidRPr="001C6AA6" w:rsidRDefault="00477F8E" w:rsidP="00477F8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военната мобилност</w:t>
      </w:r>
    </w:p>
    <w:p w:rsidR="00477F8E" w:rsidRPr="001C6AA6" w:rsidRDefault="00C97A09" w:rsidP="00477F8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10" w:tooltip="Сътрудничество в областта на отбраната: Съветът прие заключения относно сътрудничеството между ЕС и НАТО, с които одобри общ набор от нови предложения за по-нататъшната съвместна работа (съобщение за медиите, 5/12/2017 г.)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Сътрудничество в областта на отбраната: Съветът прие заключения относно сътрудничеството между ЕС и НАТО, с които одобри общ набор от нови предложения за по-нататъшната съвместна работа (съобщение за медиите, 5/12/2017 г.)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C97A09" w:rsidP="00477F8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11" w:tooltip="Външна връзка - Информация относно сътрудничеството между ЕС и НАТО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Информация относно сътрудничеството между ЕС и НАТО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004B58" w:rsidRPr="001C6AA6" w:rsidRDefault="00004B58" w:rsidP="00477F8E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lang w:eastAsia="bg-BG"/>
        </w:rPr>
      </w:pPr>
    </w:p>
    <w:p w:rsidR="00004B58" w:rsidRPr="001C6AA6" w:rsidRDefault="00004B58" w:rsidP="00004B5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Европейски план за действие в областта на отбраната</w:t>
      </w:r>
    </w:p>
    <w:p w:rsidR="00004B58" w:rsidRPr="001C6AA6" w:rsidRDefault="00004B58" w:rsidP="001C6AA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С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203 млрд. евро, изразходвани за отбрана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през 2015 г., държавите – членки на ЕС, заемат второ място в света по разходи за военни цели, след САЩ.</w:t>
      </w:r>
    </w:p>
    <w:p w:rsidR="00004B58" w:rsidRPr="001C6AA6" w:rsidRDefault="00004B58" w:rsidP="00004B5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Същевременно бюджетните средства за отбрана често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се използват неефективно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поради:</w:t>
      </w:r>
    </w:p>
    <w:p w:rsidR="00004B58" w:rsidRPr="001C6AA6" w:rsidRDefault="00004B58" w:rsidP="00004B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разпокъсаността на европейския пазар в областта на отбраната</w:t>
      </w:r>
    </w:p>
    <w:p w:rsidR="00004B58" w:rsidRPr="001C6AA6" w:rsidRDefault="00004B58" w:rsidP="00004B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скъпо струващото дублиране на военните способности</w:t>
      </w:r>
    </w:p>
    <w:p w:rsidR="00004B58" w:rsidRPr="001C6AA6" w:rsidRDefault="00004B58" w:rsidP="00004B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недостатъчното промишлено сътрудничество и липсата на оперативна съвместимост</w:t>
      </w:r>
    </w:p>
    <w:p w:rsidR="00004B58" w:rsidRPr="001C6AA6" w:rsidRDefault="00004B58" w:rsidP="00004B5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В отговор на тези въпроси, на 30 ноември 2016 г.Европейската комисия представи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европейски план за действие в областта на отбраната</w:t>
      </w:r>
      <w:r w:rsidRPr="001C6AA6">
        <w:rPr>
          <w:rFonts w:asciiTheme="majorHAnsi" w:eastAsia="Times New Roman" w:hAnsiTheme="majorHAnsi" w:cs="Times New Roman"/>
          <w:lang w:eastAsia="bg-BG"/>
        </w:rPr>
        <w:t>. Планът за действие цели:</w:t>
      </w:r>
    </w:p>
    <w:p w:rsidR="00004B58" w:rsidRPr="001C6AA6" w:rsidRDefault="00004B58" w:rsidP="00004B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увеличаване на икономическата ефективност на разходите за отбрана</w:t>
      </w:r>
    </w:p>
    <w:p w:rsidR="00004B58" w:rsidRPr="001C6AA6" w:rsidRDefault="00004B58" w:rsidP="00004B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задълбочаване на сътрудничеството в областта на отбраната</w:t>
      </w:r>
    </w:p>
    <w:p w:rsidR="00004B58" w:rsidRPr="001C6AA6" w:rsidRDefault="00004B58" w:rsidP="00004B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изграждане на по-здрава промишлена основа</w:t>
      </w:r>
    </w:p>
    <w:p w:rsidR="00004B58" w:rsidRPr="001C6AA6" w:rsidRDefault="00004B58" w:rsidP="00004B5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Планът предвижда три ключови действия:</w:t>
      </w:r>
    </w:p>
    <w:p w:rsidR="00004B58" w:rsidRPr="001C6AA6" w:rsidRDefault="00004B58" w:rsidP="00004B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създаване на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Европейски фонд за отбрана</w:t>
      </w:r>
    </w:p>
    <w:p w:rsidR="00004B58" w:rsidRPr="001C6AA6" w:rsidRDefault="00004B58" w:rsidP="00004B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насърчаване на инвестициите в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отбранителната промишленост</w:t>
      </w:r>
    </w:p>
    <w:p w:rsidR="00004B58" w:rsidRPr="001C6AA6" w:rsidRDefault="00004B58" w:rsidP="00004B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укрепване на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 xml:space="preserve">единния пазар в областта на отбраната </w:t>
      </w:r>
    </w:p>
    <w:p w:rsidR="00004B58" w:rsidRPr="001C6AA6" w:rsidRDefault="00C97A09" w:rsidP="00004B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12" w:tooltip="Външна връзка - Съобщение на Комисията относно Европейския план за действие в областта на отбраната, 30 ноември 2016 г. " w:history="1">
        <w:r w:rsidR="00004B58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 xml:space="preserve">Съобщение на Комисията относно Европейския план за действие в областта на отбраната, 30 ноември 2016 г. </w:t>
        </w:r>
      </w:hyperlink>
    </w:p>
    <w:p w:rsidR="00004B58" w:rsidRPr="001C6AA6" w:rsidRDefault="00004B58" w:rsidP="00004B5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На 22 юни 2017 г. Европейският съвет приветства съобщението на Комисията относно Европейския фонд за отбрана. Лидерите настояха и за бързо постигане на споразумение по предложението за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Европейска програма за промишлено развитие в областта на отбраната</w:t>
      </w:r>
      <w:r w:rsidRPr="001C6AA6">
        <w:rPr>
          <w:rFonts w:asciiTheme="majorHAnsi" w:eastAsia="Times New Roman" w:hAnsiTheme="majorHAnsi" w:cs="Times New Roman"/>
          <w:lang w:eastAsia="bg-BG"/>
        </w:rPr>
        <w:t>.</w:t>
      </w:r>
    </w:p>
    <w:p w:rsidR="00004B58" w:rsidRPr="001C6AA6" w:rsidRDefault="00C97A09" w:rsidP="00004B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13" w:tooltip="Външна връзка - Заключения на Европейския съвет относно сигурността и отбраната, 22.6.2017 г." w:history="1">
        <w:r w:rsidR="00004B58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Заключения на Европейския съвет относно сигурността и отбраната, 22.6.2017 г.</w:t>
        </w:r>
      </w:hyperlink>
      <w:r w:rsidR="00004B58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kern w:val="36"/>
          <w:lang w:eastAsia="bg-BG"/>
        </w:rPr>
        <w:t xml:space="preserve">Хронология: Сътрудничество на ЕС в областта на сигурността и отбраната </w:t>
      </w:r>
    </w:p>
    <w:p w:rsidR="00004B58" w:rsidRPr="001C6AA6" w:rsidRDefault="00477F8E" w:rsidP="00004B5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14 декември</w:t>
      </w:r>
      <w:r w:rsidR="00004B58" w:rsidRPr="001C6AA6">
        <w:rPr>
          <w:rFonts w:asciiTheme="majorHAnsi" w:eastAsia="Times New Roman" w:hAnsiTheme="majorHAnsi" w:cs="Times New Roman"/>
          <w:b/>
          <w:bCs/>
          <w:lang w:eastAsia="bg-BG"/>
        </w:rPr>
        <w:t xml:space="preserve"> 2017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 xml:space="preserve">Лидерите от ЕС приветстват засиленото сътрудничество в областта на отбраната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u w:val="single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lastRenderedPageBreak/>
        <w:t xml:space="preserve">На декемврийското заседание на Европейския съвет лидерите от ЕС приветстваха стартирането на </w:t>
      </w:r>
      <w:r w:rsidRPr="001C6AA6">
        <w:rPr>
          <w:rFonts w:asciiTheme="majorHAnsi" w:eastAsia="Times New Roman" w:hAnsiTheme="majorHAnsi" w:cs="Times New Roman"/>
          <w:b/>
          <w:u w:val="single"/>
          <w:lang w:eastAsia="bg-BG"/>
        </w:rPr>
        <w:t>постоянното структурирано сътрудничество /ПСС/.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В речта си по време на церемонията председателят Туск заяви: „В продължение на много години най-силният аргумент против ПСС беше опасението, че то би довело до отслабването на НАТО. Но всъщност е точно обратното. Силната европейска отбрана по естествен начин укрепва НАТО.“</w:t>
      </w:r>
    </w:p>
    <w:p w:rsidR="00477F8E" w:rsidRPr="001C6AA6" w:rsidRDefault="00C97A09" w:rsidP="00477F8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14" w:tooltip="Европейски съвет, 14—15 декември 2017 г.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Европейски съвет, 14—15 декември 2017 г.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11 декември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Съветът установява постоянно структурирано сътрудничество (ПСС) с участието на 25 държави членки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Съветът прие решение за установяване на постоянно структурирано сътрудничество (ПСС). В постоянното структурирано сътрудничество участват всички държави — членки на ЕС, с изключение на три — Дания, Малта и Обединеното кралство.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Участващите държави членки се споразумяха относно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първоначален списък от17 проекта</w:t>
      </w:r>
      <w:r w:rsidRPr="001C6AA6">
        <w:rPr>
          <w:rFonts w:asciiTheme="majorHAnsi" w:eastAsia="Times New Roman" w:hAnsiTheme="majorHAnsi" w:cs="Times New Roman"/>
          <w:lang w:eastAsia="bg-BG"/>
        </w:rPr>
        <w:t>, които да бъдат предприети в рамките на ПСС. Проектите са в областта на:</w:t>
      </w:r>
    </w:p>
    <w:p w:rsidR="00477F8E" w:rsidRPr="001C6AA6" w:rsidRDefault="00477F8E" w:rsidP="00477F8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обучението</w:t>
      </w:r>
    </w:p>
    <w:p w:rsidR="00477F8E" w:rsidRPr="001C6AA6" w:rsidRDefault="00477F8E" w:rsidP="00477F8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развитие на способностите</w:t>
      </w:r>
    </w:p>
    <w:p w:rsidR="00477F8E" w:rsidRPr="001C6AA6" w:rsidRDefault="00477F8E" w:rsidP="00477F8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оперативна готовност в областта на отбраната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Очаква се тези първоначални проекти да бъдат официално приети от Съвета в началото на 2018 г.</w:t>
      </w:r>
    </w:p>
    <w:p w:rsidR="00477F8E" w:rsidRPr="001C6AA6" w:rsidRDefault="00C97A09" w:rsidP="00477F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15" w:tooltip="Сътрудничество в областта на отбраната: Съветът установява постоянно структурирано сътрудничество (ПСС) с участието на 25 държави членки (съобщение за печата, 11.12.2017 г.)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Сътрудничество в областта на отбраната: Съветът установява постоянно структурирано сътрудничество (ПСС) с участието на 25 държави членки (съобщение за печата, 11.12.2017 г.)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5 декември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Сътрудничество между ЕС и НАТО: нова група предложения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Съветът прие заключения относно сътрудничеството между ЕС и НАТО,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като одобри нови предложения за конкретни действия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в следните области:</w:t>
      </w:r>
    </w:p>
    <w:p w:rsidR="00477F8E" w:rsidRPr="001C6AA6" w:rsidRDefault="00477F8E" w:rsidP="00477F8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борбата с тероризма</w:t>
      </w:r>
    </w:p>
    <w:p w:rsidR="00477F8E" w:rsidRPr="001C6AA6" w:rsidRDefault="00477F8E" w:rsidP="00477F8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жените</w:t>
      </w:r>
    </w:p>
    <w:p w:rsidR="00477F8E" w:rsidRPr="001C6AA6" w:rsidRDefault="00477F8E" w:rsidP="00477F8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мира и сигурността</w:t>
      </w:r>
    </w:p>
    <w:p w:rsidR="00477F8E" w:rsidRPr="001C6AA6" w:rsidRDefault="00477F8E" w:rsidP="00477F8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военната мобилност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Общият набор от нови предложения се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одобрява чрез успореден процес от НАТО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в рамките на Северноатлантическия съвет.</w:t>
      </w:r>
    </w:p>
    <w:p w:rsidR="00477F8E" w:rsidRPr="001C6AA6" w:rsidRDefault="00C97A09" w:rsidP="00477F8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16" w:tooltip="Сътрудничество в областта на отбраната: Съветът приема заключения относно сътрудничеството между ЕС и НАТО, с които одобрява общ набор от нови предложения за по-нататъшната съвместна работа (съобщение за медиите, 5.12.2017 г.)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Сътрудничество в областта на отбраната: Съветът приема заключения относно сътрудничеството между ЕС и НАТО, с които одобрява общ набор от нови предложения за по-нататъшната съвместна работа (съобщение за медиите, 5.12.2017 г.)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lastRenderedPageBreak/>
        <w:t>13 ноември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Първа стъпка към установяването на постоянно структурирано сътрудничество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Успоредно със заседанието на Съвета по външни работи 23 държави членки подписаха нотификация, с която беше отбелязана първата стъпка към установяването на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постоянно структурирано сътрудничество (ПСС).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Те ще развиват съвместно отбранителни способности, ще инвестират в общи проекти и ще повишават оперативната готовност на въоръжените си сили.</w:t>
      </w:r>
    </w:p>
    <w:p w:rsidR="00477F8E" w:rsidRPr="001C6AA6" w:rsidRDefault="00C97A09" w:rsidP="00477F8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17" w:tooltip="Сътрудничество в областта на отбраната: 23 държави членки подписаха съвместна нотификация относно постоянното структурирано сътрудничество (ПСС) 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 xml:space="preserve">Сътрудничество в областта на отбраната: 23 държави членки подписаха съвместна нотификация относно постоянното структурирано сътрудничество (ПСС) </w:t>
        </w:r>
      </w:hyperlink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Освен това Съветът прие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заключения</w:t>
      </w:r>
      <w:r w:rsidRPr="001C6AA6">
        <w:rPr>
          <w:rFonts w:asciiTheme="majorHAnsi" w:eastAsia="Times New Roman" w:hAnsiTheme="majorHAnsi" w:cs="Times New Roman"/>
          <w:lang w:eastAsia="bg-BG"/>
        </w:rPr>
        <w:t>, в които се подчертава значителният напредък в засилването на сътрудничеството в областта на сигурността и отбраната.</w:t>
      </w:r>
    </w:p>
    <w:p w:rsidR="00477F8E" w:rsidRPr="001C6AA6" w:rsidRDefault="00C97A09" w:rsidP="00477F8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18" w:tooltip="Сътрудничество в областта на сигурността и отбраната: Съветът изтъква постигнатия значителен напредък (съобщение за медиите, 13.11.2017 г.)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Сътрудничество в областта на сигурността и отбраната: Съветът изтъква постигнатия значителен напредък (съобщение за медиите, 13.11.2017 г.)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19 октомври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Европейският съвет възобновява обсъжданията за ПСС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На заседанието на Европейския съвет на 19 октомври лидерите от ЕС проведоха последващо обсъждане на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постоянното структурирано сътрудничество (ПСС)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в областта на отбраната. Държавите членки, желаещи да участват в ПСС, се приканват да информират Съвета и върховния представител за своите намерения. Това ще позволи на ПСС да започне да функционира до края на годината.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По отношение на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Европейската програма за промишлено развитие в областта на отбраната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Европейският съвет призова за постигане на съгласие в рамките на Съвета до края на тази година.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Освен това Европейският съвет приветства започването на пробен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координиран годишен преглед на отбраната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(КГПО), чиято цел е да се подобри сътрудничеството в ЕС в областта на отбраната.</w:t>
      </w:r>
    </w:p>
    <w:p w:rsidR="00477F8E" w:rsidRPr="001C6AA6" w:rsidRDefault="00C97A09" w:rsidP="00477F8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19" w:tooltip="Европейски съвет, 19 – 20.10.2017 г.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Европейски съвет, 19 – 20.10.2017 г.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22 юни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 xml:space="preserve">Европейският съвет призовава да бъде поставено началото на постоянно структурирано сътрудничество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На юнското заседание на Европейския съвет лидерите от ЕС постигнаха съгласие относно необходимостта да се постави началото на приобщаващо и амбициозно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постоянно структурирано сътрудничество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(ПСС) с цел укрепване на сигурността и отбраната на Европа.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За да поставят началото на това сътрудничество, в рамките на три месеца държавите членки ще съставят общ списък от критерии и ангажименти и ще набележат конкретни проекти, свързани със способностите.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lastRenderedPageBreak/>
        <w:t>„Това е историческа стъпка напред, тъй като това сътрудничество ще позволи на ЕС да премине към по-голяма интеграция в областта на отбраната. Целта ни е да установим амбициозно и отворено за всички сътрудничество, към което всяка държава от ЕС е поканена да се присъедини“, заяви Доналд Туск на пресконференция по време на Европейския съвет.</w:t>
      </w:r>
    </w:p>
    <w:p w:rsidR="00477F8E" w:rsidRPr="001C6AA6" w:rsidRDefault="00C97A09" w:rsidP="00477F8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20" w:tooltip="Външна връзка - Европейски съвет, 22 – 23.6.2017 г.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Европейски съвет, 22 – 23.6.2017 г.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C97A09" w:rsidP="00477F8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21" w:tooltip="Външна връзка - Заключения на Европейския съвет относно сигурността и отбраната, 22.6.2017 г.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Заключения на Европейския съвет относно сигурността и отбраната, 22.6.2017 г.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19 юни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Съветът приветства постигнатия напредък по отношение на сътрудничеството между ЕС и НАТО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Министрите на външните работи обсъдиха сътрудничеството между ЕС и НАТО със заместник генералния секретар на НАТО Роуз Готемолър. Дискусията се базираше на съвместен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доклад за напредъка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на върховния представител на ЕС и генералния секретар на НАТО. Съветът прие заключения относно доклада, в които приветства напредъка в прилагането на общия набор от предложения и призова за по-нататъшни действия в същата посока.</w:t>
      </w:r>
    </w:p>
    <w:p w:rsidR="00477F8E" w:rsidRPr="001C6AA6" w:rsidRDefault="00C97A09" w:rsidP="00477F8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22" w:tooltip="Външна връзка - Сътрудничество между ЕС и НАТО: Съветът приветства постигнатия напредък (съобщение за печата, 19.6.2017 г.)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Сътрудничество между ЕС и НАТО: Съветът приветства постигнатия напредък (съобщение за печата, 19.6.2017 г.)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8 юни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 xml:space="preserve">Съветът създава Способности за планиране и провеждане на военни операции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Съветът прие решение за създаването на Способности за планиране и провеждане на военни операции (МРСС) в рамките на Военния секретариат на ЕС.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MPCC ще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подобрят структурите на ЕС за управление на кризи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. MPCC ще поемат командването на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военните мисии на ЕС без изпълнителни правомощия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(понастоящем военните мисии на ЕС за обучение в Сомалия, Централна Африка и Мали).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Това ще позволи на служителите на мисията на място да се съсредоточат върху конкретните дейности на своята мисия, с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по-добра подкрепа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от Брюксел.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18 май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Глобална стратегия на ЕС: заключения на Съвета относно сигурността и отбраната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Съветът прие заключения относно сигурността и отбраната в рамките на Глобалната стратегия на ЕС. В заключенията се отбелязва напредъкът в засилването на сътрудничеството в областта на сигурността и отбраната и се дават насоки за по-нататъшната работа.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Обхванатите области включват:</w:t>
      </w:r>
    </w:p>
    <w:p w:rsidR="00477F8E" w:rsidRPr="001C6AA6" w:rsidRDefault="00477F8E" w:rsidP="00477F8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подобряване на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структурите на ОПСО за управление на кризи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, по-специално създаването на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Способности за планиране и провеждане на военни операции</w:t>
      </w:r>
    </w:p>
    <w:p w:rsidR="00477F8E" w:rsidRPr="001C6AA6" w:rsidRDefault="00477F8E" w:rsidP="00477F8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засилване на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сътрудничеството с партньорските държави по линия на ОПСО</w:t>
      </w:r>
    </w:p>
    <w:p w:rsidR="00477F8E" w:rsidRPr="001C6AA6" w:rsidRDefault="00477F8E" w:rsidP="00477F8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изграждане на капацитет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в подкрепа на сигурността и развитието </w:t>
      </w:r>
    </w:p>
    <w:p w:rsidR="00477F8E" w:rsidRPr="001C6AA6" w:rsidRDefault="00477F8E" w:rsidP="00477F8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lastRenderedPageBreak/>
        <w:t xml:space="preserve">развитие на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гражданските способности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и укрепване на капацитета за бързо реагиране при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гражданското управление на кризи</w:t>
      </w:r>
    </w:p>
    <w:p w:rsidR="00477F8E" w:rsidRPr="001C6AA6" w:rsidRDefault="00477F8E" w:rsidP="00477F8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укрепване на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 xml:space="preserve">бързото военно реагиране </w:t>
      </w:r>
    </w:p>
    <w:p w:rsidR="00477F8E" w:rsidRPr="001C6AA6" w:rsidRDefault="00477F8E" w:rsidP="00477F8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задълбочаване на европейското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сътрудничество в областта на отбраната</w:t>
      </w:r>
    </w:p>
    <w:p w:rsidR="00477F8E" w:rsidRPr="001C6AA6" w:rsidRDefault="00C97A09" w:rsidP="00477F8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23" w:tooltip="Външна връзка - „ЕС поддържа ангажимента си за укрепване на сигурността и отбраната“: Съветът приема заключения (съобщение за печата, 18.5.2017 г.)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„ЕС поддържа ангажимента си за укрепване на сигурността и отбраната“: Съветът приема заключения (съобщение за печата, 18.5.2017 г.)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Съветът обсъди с генералния секретар на НАТО Йенс Столтенберг сътрудничеството между ЕС и НАТО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Министрите на отбраната направиха преглед на сътрудничеството, и по-специално на общия набор от 42 предложения в 7-те области, набелязани в Съвместната декларация на председателя на Европейския съвет, председателя на Европейската комисия и генералния секретар на НАТО.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Те изразиха задоволство от постигнатия в няколко области напредък, по-конкретно в борбата с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хибридните заплахи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, както и в областта на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обмена на информация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,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стратегическите комуникации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и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морското сътрудничество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. </w:t>
      </w:r>
    </w:p>
    <w:p w:rsidR="00477F8E" w:rsidRPr="001C6AA6" w:rsidRDefault="00C97A09" w:rsidP="00477F8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24" w:tooltip="Външна връзка - Съвет по външни работи, 18.5.2017 г.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Съвет по външни работи, 18.5.2017 г.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6 март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Съветът прави преглед на напредъка и постига съгласие за подобряване на подкрепата за военните мисии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Съветът прие заключения относно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напредъка по изпълнението на Глобалната стратегия на ЕС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в областта на сигурността и отбраната.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Днес Съветът одобри и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концептуална бележка относно способностите за оперативно планиране и провеждане на мисии и операции по линия на ОПСО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. Една от предвидените мерки е създаването на Способности за планиране и провеждане на военни операции (MPCC) за планирането и провеждането на военни мисии без изпълнителни правомощия. </w:t>
      </w:r>
    </w:p>
    <w:p w:rsidR="00477F8E" w:rsidRPr="001C6AA6" w:rsidRDefault="00C97A09" w:rsidP="00477F8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25" w:tooltip="Външна връзка - Съобщение за печата, 6.3.2017 г. – Сигурност и отбрана: Съветът прави преглед на напредъка и постига съгласие за подобряване на подкрепата за военните мисии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Съобщение за печата, 6.3.2017 г. – Сигурност и отбрана: Съветът прави преглед на напредъка и постига съгласие за подобряване на подкрепата за военните мисии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2016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15 декември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Европейският съвет подчерта необходимостта от укрепване на сигурността и отбраната на Европа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Европейският съвет потвърди отново своя ангажимент към изпълнението на стратегията за вътрешна сигурност на Европейския съюз за периода 2015 – 2020 г. Той разгледа укрепването на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сътрудничеството в ЕС в областта на външната сигурност и отбраната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и насочи вниманието си към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три приоритета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: </w:t>
      </w:r>
    </w:p>
    <w:p w:rsidR="00477F8E" w:rsidRPr="001C6AA6" w:rsidRDefault="00477F8E" w:rsidP="00477F8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Глобалната стратегия на ЕС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в областта на сигурността и отбраната</w:t>
      </w:r>
    </w:p>
    <w:p w:rsidR="00477F8E" w:rsidRPr="001C6AA6" w:rsidRDefault="00477F8E" w:rsidP="00477F8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Европейския план за действие в областта на отбраната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lastRenderedPageBreak/>
        <w:t xml:space="preserve">изпълнението на общия набор от предложения, изготвени в резултат на </w:t>
      </w: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Съвместната декларация на ЕС и НАТО</w:t>
      </w:r>
      <w:r w:rsidRPr="001C6AA6">
        <w:rPr>
          <w:rFonts w:asciiTheme="majorHAnsi" w:eastAsia="Times New Roman" w:hAnsiTheme="majorHAnsi" w:cs="Times New Roman"/>
          <w:lang w:eastAsia="bg-BG"/>
        </w:rPr>
        <w:t xml:space="preserve">, подписана във Варшава през юли 2016 г. </w:t>
      </w:r>
    </w:p>
    <w:p w:rsidR="00477F8E" w:rsidRPr="001C6AA6" w:rsidRDefault="00C97A09" w:rsidP="00477F8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26" w:tooltip="Външна връзка - Европейски съвет, 15 декември 2016 г.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Европейски съвет, 15 декември 2016 г.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6 декември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Общ набор от предложения за прилагане на Съвместната декларация на ЕС и НАТО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Съветът прие заключения относно прилагането на Съвместната декларация на ЕС и НАТО, като одобри 40 предложения в 7 области. Тези предложения бяха одобрени същия ден от Северноатлантическия съвет. </w:t>
      </w:r>
    </w:p>
    <w:p w:rsidR="00477F8E" w:rsidRPr="001C6AA6" w:rsidRDefault="00C97A09" w:rsidP="00477F8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27" w:tooltip="Външна връзка - Сътрудничество ЕС – НАТО: Съветът приема заключения за прилагане на съвместната декларация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Сътрудничество ЕС – НАТО: Съветът приема заключения за прилагане на съвместната декларация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30 ноември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Европейската комисия представя Европейски план за действие в областта на отбраната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Европейският фонд за отбрана и останалите действия имат за цел да подкрепят държавите членки за по-ефективни разходи в областта на съвместните отбранителни способности, да укрепват сигурността на европейските граждани и да насърчават конкурентоспособната и иновативна промишлена база.</w:t>
      </w:r>
    </w:p>
    <w:p w:rsidR="00477F8E" w:rsidRPr="001C6AA6" w:rsidRDefault="00C97A09" w:rsidP="00477F8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28" w:tooltip="PDF документ - Европейски план за действие в областта на отбраната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Европейски план за действие в областта на отбраната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C97A09" w:rsidP="00477F8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29" w:tooltip="Външна връзка - Европейски план за действие в областта на отбраната: Към Европейски фонд за отбрана (Европейска комисия – съобщение за печата)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Европейски план за действие в областта на отбраната: Към Европейски фонд за отбрана (Европейска комисия – съобщение за печата)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C97A09" w:rsidP="00477F8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30" w:tooltip="PDF документ - Европейски план за действие в областта на отбраната – информационна бележка (Европейска комисия)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Европейски план за действие в областта на отбраната – информационна бележка (Европейска комисия)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14 ноември</w:t>
      </w:r>
    </w:p>
    <w:p w:rsidR="00477F8E" w:rsidRPr="001C6AA6" w:rsidRDefault="00477F8E" w:rsidP="00477F8E">
      <w:pPr>
        <w:spacing w:after="0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ЕС желае да засили своя капацитет в областта на сигурността и отбраната, като реагира на външни конфликти и кризи в съседството на Европа, като помага на по-слаби държави в нестабилни райони и като защитава ЕС и неговите държави членки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План за изпълнение в областта на сигурността и отбраната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Министрите на външните работи и министрите на отбраната от ЕС обсъждат плана за изпълнение в областта на сигурността и отбраната в рамките на глобалната стратегия на ЕС. Те установяват равнището на амбиция и пътя към бъдещото развитие на политиката на ЕС за сигурност и отбрана.</w:t>
      </w:r>
    </w:p>
    <w:p w:rsidR="00477F8E" w:rsidRPr="001C6AA6" w:rsidRDefault="00C97A09" w:rsidP="00477F8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31" w:tooltip="Външна връзка - Заключения на Съвета относно сигурността и отбраната, 14 ноември 2016 г.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Заключения на Съвета относно сигурността и отбраната, 14 ноември 2016 г.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C97A09" w:rsidP="00477F8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32" w:tooltip="Външна връзка - План за изпълнение в областта на сигурността и отбраната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План за изпълнение в областта на сигурността и отбраната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C97A09" w:rsidP="00477F8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33" w:tooltip="Външна връзка - Инфографика – Глобална стратегия на ЕС: План за изпълнение в областта на сигурността и отбраната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Инфографика – Глобална стратегия на ЕС: План за изпълнение в областта на сигурността и отбраната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8 юли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lastRenderedPageBreak/>
        <w:t>Подписване на съвместната декларация на ЕС и НАТО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На срещата на върха на НАТО във Варшава председателят на Европейския съвет, председателят на Европейската комисия и генералният секретар на НАТО подписват съвместна декларация относно сътрудничеството между ЕС и НАТО.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Декларацията има за цел по-нататъшното укрепване на сътрудничеството между ЕС и НАТО в контекста на безпрецедентните предизвикателства пред сигурността от изток и юг. </w:t>
      </w:r>
    </w:p>
    <w:p w:rsidR="00477F8E" w:rsidRPr="001C6AA6" w:rsidRDefault="00C97A09" w:rsidP="00477F8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34" w:tooltip="Съвместна декларация на ЕС и НАТО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Съвместна декларация на ЕС и НАТО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C97A09" w:rsidP="00477F8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35" w:tooltip="Външна връзка - Среща на високо равнище на НАТО, Варшава, Полша, 8 – 9 юли 2016 г.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Среща на високо равнище на НАТО, Варшава, Полша, 8 – 9 юли 2016 г.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28 юни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Представяне на Глобалната стратегия на Европейския съюз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Върховният представител Федерика Могерини представя Глобалната стратегия на ЕС за външната политика и политиката на сигурност пред лидерите от ЕС, които заседават в рамките на срещата на върха на ЕС в Брюксел.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През юни 2015 г. Европейският съвет възложи на върховния представител да изготви новата стратегия. Озаглавена „Обща визия, общи действия: по-силна Европа“, стратегията отразява общите възгледи, изразени в хода на процеса, и предлага стратегическа визия за глобалната роля на ЕС. В тези времена на предизвикателства както за Европа, така и в световен мащаб, в стратегията се изтъква онова, което ни обединява, и се представят бъдещите действия.</w:t>
      </w:r>
    </w:p>
    <w:p w:rsidR="00477F8E" w:rsidRPr="001C6AA6" w:rsidRDefault="00C97A09" w:rsidP="00477F8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36" w:tooltip="PDF документ - Глобална стратегия на Европейския съюз в областта на външната политика и политиката на сигурност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Глобална стратегия на Европейския съюз в областта на външната политика и политиката на сигурност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C97A09" w:rsidP="00477F8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37" w:tooltip="Външна връзка - Европейски съвет, 28—29 юни 2016 г.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Европейски съвет, 28—29 юни 2016 г.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2013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20 декември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Определени са приоритетните действия за отбраната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За пръв път от влизането в сила на Лисабонския договор Европейският съвет обсъжда отбраната и набелязва приоритетни действия за по-задълбочено сътрудничество: </w:t>
      </w:r>
    </w:p>
    <w:p w:rsidR="00477F8E" w:rsidRPr="001C6AA6" w:rsidRDefault="00477F8E" w:rsidP="00477F8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повишаване на ефективността, видимостта и въздействието на общата политика за сигурност и отбрана</w:t>
      </w:r>
    </w:p>
    <w:p w:rsidR="00477F8E" w:rsidRPr="001C6AA6" w:rsidRDefault="00477F8E" w:rsidP="00477F8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укрепване на развитието на способности</w:t>
      </w:r>
    </w:p>
    <w:p w:rsidR="00477F8E" w:rsidRPr="001C6AA6" w:rsidRDefault="00477F8E" w:rsidP="00477F8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укрепване на европейската отбранителна промишленост</w:t>
      </w:r>
    </w:p>
    <w:p w:rsidR="00477F8E" w:rsidRPr="001C6AA6" w:rsidRDefault="00C97A09" w:rsidP="00477F8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38" w:tooltip="PDF документ - Заключения на Европейския съвет, 20 декември 2013 г.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Заключения на Европейския съвет, 20 декември 2013 г.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2009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1 декември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lastRenderedPageBreak/>
        <w:t>Лисабонският договор влиза в сила. ОПСО е приемник на ЕПСО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Лисабонският договор, подписан през 2007 г., влиза в сила и с него ЕПСО се преименува на обща политика за сигурност и отбрана (ОПСО). В Договора се предвижда създаването на Европейска служба за външна дейност. Делегациите на Комисията в страните извън ЕС стават делегации на ЕС. </w:t>
      </w:r>
    </w:p>
    <w:p w:rsidR="00477F8E" w:rsidRPr="001C6AA6" w:rsidRDefault="00C97A09" w:rsidP="00477F8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39" w:tooltip="Външна връзка - Обща политика за сигурност и отбрана (ОПСО) 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 xml:space="preserve">Обща политика за сигурност и отбрана (ОПСО) </w:t>
        </w:r>
      </w:hyperlink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2004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12 юли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Създаване на Европейската агенция по отбрана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Европейската агенция по отбрана е създадена, за да се оказва подкрепа на държавите членки и на Европейския съвет за подобряване на европейските отбранителни способности в областта на управлението на кризи и за поддържане на ЕПСО.</w:t>
      </w:r>
    </w:p>
    <w:p w:rsidR="00477F8E" w:rsidRPr="001C6AA6" w:rsidRDefault="00C97A09" w:rsidP="00477F8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40" w:tooltip="Външна връзка - Европейска агенция по отбрана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Европейска агенция по отбрана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2003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12 декември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Приемане на Европейската стратегия за сигурност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На срещата на върха в Брюксел се приема Европейска стратегия за сигурност. Целта на документа е да се постигне сигурна Европа в един по-добър свят, да се набележат заплахите, пред които е изправен ЕС, да се определят неговите стратегически цели и да се изложат политическите последствия за Европа.</w:t>
      </w:r>
    </w:p>
    <w:p w:rsidR="00477F8E" w:rsidRPr="001C6AA6" w:rsidRDefault="00C97A09" w:rsidP="00477F8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41" w:tooltip="Външна връзка - Европейска стратегия за сигурност – Сигурна Европа в един по-добър свят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Европейска стратегия за сигурност – Сигурна Европа в един по-добър свят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2002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16 декември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Подписване на „Берлин плюс“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Подписаното споразумение „Берлин плюс“ дава възможност структурите, механизмите и средствата на НАТО да бъдат използвани за провеждане на мисии по линия на ЕПСО. </w:t>
      </w:r>
    </w:p>
    <w:p w:rsidR="00477F8E" w:rsidRPr="001C6AA6" w:rsidRDefault="00C97A09" w:rsidP="00477F8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42" w:tooltip="Външна връзка - Споразумение „Берлин плюс“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Споразумение „Берлин плюс“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1999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3 юни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Поставяне на началото на европейската политика за сигурност и отбрана (ЕПСО)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lastRenderedPageBreak/>
        <w:t xml:space="preserve">По време на Европейския съвет в Кьолн ЕС-15 решава да укрепи общата външна политика и политиката на сигурност. </w:t>
      </w:r>
    </w:p>
    <w:p w:rsidR="00477F8E" w:rsidRPr="001C6AA6" w:rsidRDefault="00C97A09" w:rsidP="00477F8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43" w:anchor="V" w:tooltip="Външна връзка - Заключения на Европейския съвет, 3 – 4 юни 1999 г.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Заключения на Европейския съвет, 3 – 4 юни 1999 г.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1991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9 декември</w:t>
      </w:r>
    </w:p>
    <w:p w:rsidR="00477F8E" w:rsidRPr="001C6AA6" w:rsidRDefault="00477F8E" w:rsidP="00477F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bg-BG"/>
        </w:rPr>
      </w:pPr>
      <w:r w:rsidRPr="001C6AA6">
        <w:rPr>
          <w:rFonts w:asciiTheme="majorHAnsi" w:eastAsia="Times New Roman" w:hAnsiTheme="majorHAnsi" w:cs="Times New Roman"/>
          <w:b/>
          <w:bCs/>
          <w:lang w:eastAsia="bg-BG"/>
        </w:rPr>
        <w:t>Поставени са основите на общата външна политика и политиката на сигурност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 xml:space="preserve">Европейският съвет в Маастрихт поставя основите за изграждане на политически съюз чрез създаването на обща външна политика и политика на сигурност (ОВППС) и началото на обща отбранителна политика като втори стълб на Договора от Маастрихт. </w:t>
      </w:r>
    </w:p>
    <w:p w:rsidR="00477F8E" w:rsidRPr="001C6AA6" w:rsidRDefault="00477F8E" w:rsidP="00477F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r w:rsidRPr="001C6AA6">
        <w:rPr>
          <w:rFonts w:asciiTheme="majorHAnsi" w:eastAsia="Times New Roman" w:hAnsiTheme="majorHAnsi" w:cs="Times New Roman"/>
          <w:lang w:eastAsia="bg-BG"/>
        </w:rPr>
        <w:t>Договорът е подписан през февруари 1992 г. и влиза в сила през ноември 1993 г.</w:t>
      </w:r>
    </w:p>
    <w:p w:rsidR="00477F8E" w:rsidRPr="001C6AA6" w:rsidRDefault="00C97A09" w:rsidP="00477F8E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bg-BG"/>
        </w:rPr>
      </w:pPr>
      <w:hyperlink r:id="rId44" w:tooltip="PDF документ - Договор от Маастрихт" w:history="1">
        <w:r w:rsidR="00477F8E" w:rsidRPr="001C6AA6">
          <w:rPr>
            <w:rFonts w:asciiTheme="majorHAnsi" w:eastAsia="Times New Roman" w:hAnsiTheme="majorHAnsi" w:cs="Times New Roman"/>
            <w:color w:val="0000FF"/>
            <w:u w:val="single"/>
            <w:lang w:eastAsia="bg-BG"/>
          </w:rPr>
          <w:t>Договор от Маастрихт</w:t>
        </w:r>
      </w:hyperlink>
      <w:r w:rsidR="00477F8E" w:rsidRPr="001C6AA6">
        <w:rPr>
          <w:rFonts w:asciiTheme="majorHAnsi" w:eastAsia="Times New Roman" w:hAnsiTheme="majorHAnsi" w:cs="Times New Roman"/>
          <w:lang w:eastAsia="bg-BG"/>
        </w:rPr>
        <w:t xml:space="preserve"> </w:t>
      </w:r>
    </w:p>
    <w:p w:rsidR="00B0531E" w:rsidRPr="001C6AA6" w:rsidRDefault="00B0531E">
      <w:pPr>
        <w:rPr>
          <w:rFonts w:asciiTheme="majorHAnsi" w:hAnsiTheme="majorHAnsi"/>
        </w:rPr>
      </w:pPr>
    </w:p>
    <w:sectPr w:rsidR="00B0531E" w:rsidRPr="001C6AA6" w:rsidSect="00B0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B39" w:rsidRDefault="002C5B39" w:rsidP="00004B58">
      <w:pPr>
        <w:spacing w:after="0" w:line="240" w:lineRule="auto"/>
      </w:pPr>
      <w:r>
        <w:separator/>
      </w:r>
    </w:p>
  </w:endnote>
  <w:endnote w:type="continuationSeparator" w:id="0">
    <w:p w:rsidR="002C5B39" w:rsidRDefault="002C5B39" w:rsidP="0000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B39" w:rsidRDefault="002C5B39" w:rsidP="00004B58">
      <w:pPr>
        <w:spacing w:after="0" w:line="240" w:lineRule="auto"/>
      </w:pPr>
      <w:r>
        <w:separator/>
      </w:r>
    </w:p>
  </w:footnote>
  <w:footnote w:type="continuationSeparator" w:id="0">
    <w:p w:rsidR="002C5B39" w:rsidRDefault="002C5B39" w:rsidP="00004B58">
      <w:pPr>
        <w:spacing w:after="0" w:line="240" w:lineRule="auto"/>
      </w:pPr>
      <w:r>
        <w:continuationSeparator/>
      </w:r>
    </w:p>
  </w:footnote>
  <w:footnote w:id="1">
    <w:p w:rsidR="00004B58" w:rsidRDefault="00004B58">
      <w:pPr>
        <w:pStyle w:val="a8"/>
      </w:pPr>
      <w:r>
        <w:rPr>
          <w:rStyle w:val="aa"/>
        </w:rPr>
        <w:footnoteRef/>
      </w:r>
      <w:r>
        <w:t xml:space="preserve"> </w:t>
      </w:r>
      <w:hyperlink r:id="rId1" w:history="1">
        <w:r w:rsidRPr="00971E0B">
          <w:rPr>
            <w:rStyle w:val="a4"/>
          </w:rPr>
          <w:t>http://www.consilium.europa.eu/bg/infographics/eu-nato-joint-declaration-may17/</w:t>
        </w:r>
      </w:hyperlink>
    </w:p>
    <w:p w:rsidR="00004B58" w:rsidRDefault="00004B58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1293"/>
    <w:multiLevelType w:val="multilevel"/>
    <w:tmpl w:val="7472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61F37"/>
    <w:multiLevelType w:val="multilevel"/>
    <w:tmpl w:val="8B16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81ACA"/>
    <w:multiLevelType w:val="multilevel"/>
    <w:tmpl w:val="F1A0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07B0E"/>
    <w:multiLevelType w:val="multilevel"/>
    <w:tmpl w:val="287E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C369D"/>
    <w:multiLevelType w:val="multilevel"/>
    <w:tmpl w:val="DD56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B504A7"/>
    <w:multiLevelType w:val="multilevel"/>
    <w:tmpl w:val="5190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1F1C7A"/>
    <w:multiLevelType w:val="multilevel"/>
    <w:tmpl w:val="7ABE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35513E"/>
    <w:multiLevelType w:val="multilevel"/>
    <w:tmpl w:val="075C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517AFD"/>
    <w:multiLevelType w:val="multilevel"/>
    <w:tmpl w:val="2890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9F2A1F"/>
    <w:multiLevelType w:val="multilevel"/>
    <w:tmpl w:val="235E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987B36"/>
    <w:multiLevelType w:val="multilevel"/>
    <w:tmpl w:val="50D0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DC5737"/>
    <w:multiLevelType w:val="multilevel"/>
    <w:tmpl w:val="5FF6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1D1EF6"/>
    <w:multiLevelType w:val="multilevel"/>
    <w:tmpl w:val="F3E8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54D38"/>
    <w:multiLevelType w:val="multilevel"/>
    <w:tmpl w:val="51D6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532208"/>
    <w:multiLevelType w:val="multilevel"/>
    <w:tmpl w:val="9874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5976DE"/>
    <w:multiLevelType w:val="multilevel"/>
    <w:tmpl w:val="D27E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4F0279"/>
    <w:multiLevelType w:val="multilevel"/>
    <w:tmpl w:val="2636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476556"/>
    <w:multiLevelType w:val="multilevel"/>
    <w:tmpl w:val="AE90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1F3DAC"/>
    <w:multiLevelType w:val="multilevel"/>
    <w:tmpl w:val="56B0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CE1C63"/>
    <w:multiLevelType w:val="multilevel"/>
    <w:tmpl w:val="5572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B5358B"/>
    <w:multiLevelType w:val="multilevel"/>
    <w:tmpl w:val="B1D6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C5508D"/>
    <w:multiLevelType w:val="multilevel"/>
    <w:tmpl w:val="C92A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211441"/>
    <w:multiLevelType w:val="multilevel"/>
    <w:tmpl w:val="68EE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5E7F74"/>
    <w:multiLevelType w:val="multilevel"/>
    <w:tmpl w:val="D498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BA25B6"/>
    <w:multiLevelType w:val="multilevel"/>
    <w:tmpl w:val="C9C0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B24792"/>
    <w:multiLevelType w:val="multilevel"/>
    <w:tmpl w:val="D090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414A89"/>
    <w:multiLevelType w:val="multilevel"/>
    <w:tmpl w:val="4266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3A2C65"/>
    <w:multiLevelType w:val="multilevel"/>
    <w:tmpl w:val="C8D0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E0017D"/>
    <w:multiLevelType w:val="multilevel"/>
    <w:tmpl w:val="904E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BD76E97"/>
    <w:multiLevelType w:val="multilevel"/>
    <w:tmpl w:val="DFFC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C7103DF"/>
    <w:multiLevelType w:val="multilevel"/>
    <w:tmpl w:val="891C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C8A2A90"/>
    <w:multiLevelType w:val="multilevel"/>
    <w:tmpl w:val="379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CDC167B"/>
    <w:multiLevelType w:val="multilevel"/>
    <w:tmpl w:val="4A9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B1E7E85"/>
    <w:multiLevelType w:val="multilevel"/>
    <w:tmpl w:val="F372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B763879"/>
    <w:multiLevelType w:val="multilevel"/>
    <w:tmpl w:val="50C6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E60721"/>
    <w:multiLevelType w:val="multilevel"/>
    <w:tmpl w:val="5090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102651"/>
    <w:multiLevelType w:val="multilevel"/>
    <w:tmpl w:val="3E54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413294A"/>
    <w:multiLevelType w:val="multilevel"/>
    <w:tmpl w:val="678A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8D774FF"/>
    <w:multiLevelType w:val="multilevel"/>
    <w:tmpl w:val="4DA6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6E5DB3"/>
    <w:multiLevelType w:val="multilevel"/>
    <w:tmpl w:val="F236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1F5178"/>
    <w:multiLevelType w:val="multilevel"/>
    <w:tmpl w:val="38D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026585A"/>
    <w:multiLevelType w:val="multilevel"/>
    <w:tmpl w:val="8E76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EE2B23"/>
    <w:multiLevelType w:val="multilevel"/>
    <w:tmpl w:val="A51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2D24B22"/>
    <w:multiLevelType w:val="multilevel"/>
    <w:tmpl w:val="3D5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4696C0F"/>
    <w:multiLevelType w:val="multilevel"/>
    <w:tmpl w:val="8232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08E3D3F"/>
    <w:multiLevelType w:val="multilevel"/>
    <w:tmpl w:val="942E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2353548"/>
    <w:multiLevelType w:val="multilevel"/>
    <w:tmpl w:val="94CE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2574052"/>
    <w:multiLevelType w:val="multilevel"/>
    <w:tmpl w:val="70EC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2B83F4B"/>
    <w:multiLevelType w:val="multilevel"/>
    <w:tmpl w:val="B56E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467603E"/>
    <w:multiLevelType w:val="multilevel"/>
    <w:tmpl w:val="EDA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5F04284"/>
    <w:multiLevelType w:val="multilevel"/>
    <w:tmpl w:val="0FE0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6711363"/>
    <w:multiLevelType w:val="multilevel"/>
    <w:tmpl w:val="F5C0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98E0CF2"/>
    <w:multiLevelType w:val="multilevel"/>
    <w:tmpl w:val="8A88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BDD1BAD"/>
    <w:multiLevelType w:val="multilevel"/>
    <w:tmpl w:val="E9C6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E87685A"/>
    <w:multiLevelType w:val="multilevel"/>
    <w:tmpl w:val="400C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0"/>
  </w:num>
  <w:num w:numId="3">
    <w:abstractNumId w:val="13"/>
  </w:num>
  <w:num w:numId="4">
    <w:abstractNumId w:val="24"/>
  </w:num>
  <w:num w:numId="5">
    <w:abstractNumId w:val="11"/>
  </w:num>
  <w:num w:numId="6">
    <w:abstractNumId w:val="41"/>
  </w:num>
  <w:num w:numId="7">
    <w:abstractNumId w:val="46"/>
  </w:num>
  <w:num w:numId="8">
    <w:abstractNumId w:val="22"/>
  </w:num>
  <w:num w:numId="9">
    <w:abstractNumId w:val="6"/>
  </w:num>
  <w:num w:numId="10">
    <w:abstractNumId w:val="37"/>
  </w:num>
  <w:num w:numId="11">
    <w:abstractNumId w:val="44"/>
  </w:num>
  <w:num w:numId="12">
    <w:abstractNumId w:val="20"/>
  </w:num>
  <w:num w:numId="13">
    <w:abstractNumId w:val="19"/>
  </w:num>
  <w:num w:numId="14">
    <w:abstractNumId w:val="8"/>
  </w:num>
  <w:num w:numId="15">
    <w:abstractNumId w:val="38"/>
  </w:num>
  <w:num w:numId="16">
    <w:abstractNumId w:val="52"/>
  </w:num>
  <w:num w:numId="17">
    <w:abstractNumId w:val="21"/>
  </w:num>
  <w:num w:numId="18">
    <w:abstractNumId w:val="34"/>
  </w:num>
  <w:num w:numId="19">
    <w:abstractNumId w:val="26"/>
  </w:num>
  <w:num w:numId="20">
    <w:abstractNumId w:val="27"/>
  </w:num>
  <w:num w:numId="21">
    <w:abstractNumId w:val="3"/>
  </w:num>
  <w:num w:numId="22">
    <w:abstractNumId w:val="4"/>
  </w:num>
  <w:num w:numId="23">
    <w:abstractNumId w:val="10"/>
  </w:num>
  <w:num w:numId="24">
    <w:abstractNumId w:val="36"/>
  </w:num>
  <w:num w:numId="25">
    <w:abstractNumId w:val="7"/>
  </w:num>
  <w:num w:numId="26">
    <w:abstractNumId w:val="9"/>
  </w:num>
  <w:num w:numId="27">
    <w:abstractNumId w:val="12"/>
  </w:num>
  <w:num w:numId="28">
    <w:abstractNumId w:val="2"/>
  </w:num>
  <w:num w:numId="29">
    <w:abstractNumId w:val="48"/>
  </w:num>
  <w:num w:numId="30">
    <w:abstractNumId w:val="28"/>
  </w:num>
  <w:num w:numId="31">
    <w:abstractNumId w:val="14"/>
  </w:num>
  <w:num w:numId="32">
    <w:abstractNumId w:val="18"/>
  </w:num>
  <w:num w:numId="33">
    <w:abstractNumId w:val="53"/>
  </w:num>
  <w:num w:numId="34">
    <w:abstractNumId w:val="47"/>
  </w:num>
  <w:num w:numId="35">
    <w:abstractNumId w:val="50"/>
  </w:num>
  <w:num w:numId="36">
    <w:abstractNumId w:val="39"/>
  </w:num>
  <w:num w:numId="37">
    <w:abstractNumId w:val="51"/>
  </w:num>
  <w:num w:numId="38">
    <w:abstractNumId w:val="15"/>
  </w:num>
  <w:num w:numId="39">
    <w:abstractNumId w:val="29"/>
  </w:num>
  <w:num w:numId="40">
    <w:abstractNumId w:val="33"/>
  </w:num>
  <w:num w:numId="41">
    <w:abstractNumId w:val="23"/>
  </w:num>
  <w:num w:numId="42">
    <w:abstractNumId w:val="32"/>
  </w:num>
  <w:num w:numId="43">
    <w:abstractNumId w:val="31"/>
  </w:num>
  <w:num w:numId="44">
    <w:abstractNumId w:val="54"/>
  </w:num>
  <w:num w:numId="45">
    <w:abstractNumId w:val="45"/>
  </w:num>
  <w:num w:numId="46">
    <w:abstractNumId w:val="5"/>
  </w:num>
  <w:num w:numId="47">
    <w:abstractNumId w:val="16"/>
  </w:num>
  <w:num w:numId="48">
    <w:abstractNumId w:val="49"/>
  </w:num>
  <w:num w:numId="49">
    <w:abstractNumId w:val="40"/>
  </w:num>
  <w:num w:numId="50">
    <w:abstractNumId w:val="43"/>
  </w:num>
  <w:num w:numId="51">
    <w:abstractNumId w:val="35"/>
  </w:num>
  <w:num w:numId="52">
    <w:abstractNumId w:val="1"/>
  </w:num>
  <w:num w:numId="53">
    <w:abstractNumId w:val="17"/>
  </w:num>
  <w:num w:numId="54">
    <w:abstractNumId w:val="0"/>
  </w:num>
  <w:num w:numId="55">
    <w:abstractNumId w:val="25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B8C"/>
    <w:rsid w:val="00004B58"/>
    <w:rsid w:val="000A0AEF"/>
    <w:rsid w:val="001C6AA6"/>
    <w:rsid w:val="002C5B39"/>
    <w:rsid w:val="00477F8E"/>
    <w:rsid w:val="008103BC"/>
    <w:rsid w:val="00844914"/>
    <w:rsid w:val="00A95B8C"/>
    <w:rsid w:val="00B0531E"/>
    <w:rsid w:val="00C97A09"/>
    <w:rsid w:val="00DE6226"/>
    <w:rsid w:val="00F5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1E"/>
  </w:style>
  <w:style w:type="paragraph" w:styleId="1">
    <w:name w:val="heading 1"/>
    <w:basedOn w:val="a"/>
    <w:link w:val="10"/>
    <w:uiPriority w:val="9"/>
    <w:qFormat/>
    <w:rsid w:val="00A95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A95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A95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95B8C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A95B8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A95B8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d-inline-block">
    <w:name w:val="d-inline-block"/>
    <w:basedOn w:val="a0"/>
    <w:rsid w:val="00A95B8C"/>
  </w:style>
  <w:style w:type="paragraph" w:styleId="a3">
    <w:name w:val="Normal (Web)"/>
    <w:basedOn w:val="a"/>
    <w:uiPriority w:val="99"/>
    <w:semiHidden/>
    <w:unhideWhenUsed/>
    <w:rsid w:val="00A95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A95B8C"/>
    <w:rPr>
      <w:color w:val="0000FF"/>
      <w:u w:val="single"/>
    </w:rPr>
  </w:style>
  <w:style w:type="character" w:styleId="a5">
    <w:name w:val="Strong"/>
    <w:basedOn w:val="a0"/>
    <w:uiPriority w:val="22"/>
    <w:qFormat/>
    <w:rsid w:val="00477F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77F8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04B58"/>
    <w:pPr>
      <w:spacing w:after="0" w:line="240" w:lineRule="auto"/>
    </w:pPr>
    <w:rPr>
      <w:sz w:val="20"/>
      <w:szCs w:val="20"/>
    </w:rPr>
  </w:style>
  <w:style w:type="character" w:customStyle="1" w:styleId="a9">
    <w:name w:val="Текст под линия Знак"/>
    <w:basedOn w:val="a0"/>
    <w:link w:val="a8"/>
    <w:uiPriority w:val="99"/>
    <w:semiHidden/>
    <w:rsid w:val="00004B5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04B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5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4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4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84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0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13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9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0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2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0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6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4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8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1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9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4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3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4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3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0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6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4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0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9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6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5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4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2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9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ilium.europa.eu/bg/press/press-releases/2017/06/22-euco-security-defence/" TargetMode="External"/><Relationship Id="rId18" Type="http://schemas.openxmlformats.org/officeDocument/2006/relationships/hyperlink" Target="http://www.consilium.europa.eu/bg/press/press-releases/2017/11/13/security-and-defence-cooperation-council-highlights-the-significant-progress-made/" TargetMode="External"/><Relationship Id="rId26" Type="http://schemas.openxmlformats.org/officeDocument/2006/relationships/hyperlink" Target="http://www.consilium.europa.eu/bg/meetings/european-council/2016/12/15-16/" TargetMode="External"/><Relationship Id="rId39" Type="http://schemas.openxmlformats.org/officeDocument/2006/relationships/hyperlink" Target="https://eeas.europa.eu/topics/common-security-and-defence-policy-csdp_e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ilium.europa.eu/bg/press/press-releases/2017/06/22-euco-security-defence/" TargetMode="External"/><Relationship Id="rId34" Type="http://schemas.openxmlformats.org/officeDocument/2006/relationships/hyperlink" Target="http://www.consilium.europa.eu/bg/policies/defence-security/defence-security-timeline/" TargetMode="External"/><Relationship Id="rId42" Type="http://schemas.openxmlformats.org/officeDocument/2006/relationships/hyperlink" Target="http://eeas.europa.eu/csdp/about-csdp/berlin/index_en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gal-content/bg/TXT/PDF/?uri=CELEX:52016DC0950&amp;from=EN" TargetMode="External"/><Relationship Id="rId17" Type="http://schemas.openxmlformats.org/officeDocument/2006/relationships/hyperlink" Target="http://www.consilium.europa.eu/bg/press/press-releases/2017/11/13/defence-cooperation-23-member-states-sign-joint-notification-on-pesco/" TargetMode="External"/><Relationship Id="rId25" Type="http://schemas.openxmlformats.org/officeDocument/2006/relationships/hyperlink" Target="http://www.consilium.europa.eu/bg/press/press-releases/2017/03/06-defence-security/?utm_source=dsms-auto&amp;utm_medium=email&amp;utm_campaign=Security+and+defence%3a+Council+reviews+progress+and+agrees+to+improve+support+for+military+missions+" TargetMode="External"/><Relationship Id="rId33" Type="http://schemas.openxmlformats.org/officeDocument/2006/relationships/hyperlink" Target="http://www.consilium.europa.eu/bg/infographics/eu-global-strategy/" TargetMode="External"/><Relationship Id="rId38" Type="http://schemas.openxmlformats.org/officeDocument/2006/relationships/hyperlink" Target="http://data.consilium.europa.eu/doc/document/ST-217-2013-INIT/bg/pdf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onsilium.europa.eu/bg/press/press-releases/2017/12/05/defence-cooperation-council-adopts-conclusions-on-eu-nato-cooperation-endorsing-common-set-of-new-proposals-for-further-joint-work/" TargetMode="External"/><Relationship Id="rId20" Type="http://schemas.openxmlformats.org/officeDocument/2006/relationships/hyperlink" Target="http://www.consilium.europa.eu/bg/meetings/european-council/2017/06/22-23/" TargetMode="External"/><Relationship Id="rId29" Type="http://schemas.openxmlformats.org/officeDocument/2006/relationships/hyperlink" Target="http://europa.eu/rapid/press-release_IP-16-4088_en.htm" TargetMode="External"/><Relationship Id="rId41" Type="http://schemas.openxmlformats.org/officeDocument/2006/relationships/hyperlink" Target="https://europa.eu/globalstrategy/en/european-security-strategy-secure-europe-better-worl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headquarters/headquarters-homepage/28286/eu-nato-cooperation-factsheet_en" TargetMode="External"/><Relationship Id="rId24" Type="http://schemas.openxmlformats.org/officeDocument/2006/relationships/hyperlink" Target="http://www.consilium.europa.eu/bg/meetings/fac/2017/05/18/" TargetMode="External"/><Relationship Id="rId32" Type="http://schemas.openxmlformats.org/officeDocument/2006/relationships/hyperlink" Target="http://www.consilium.europa.eu/en/press/press-releases/2016/11/pdf/Implementation-plan-on-security-and-defence_pdf/" TargetMode="External"/><Relationship Id="rId37" Type="http://schemas.openxmlformats.org/officeDocument/2006/relationships/hyperlink" Target="http://www.consilium.europa.eu/bg/meetings/european-council/2016/06/28-29/" TargetMode="External"/><Relationship Id="rId40" Type="http://schemas.openxmlformats.org/officeDocument/2006/relationships/hyperlink" Target="https://www.eda.europa.eu/home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ilium.europa.eu/bg/press/press-releases/2017/12/11/defence-cooperation-pesco-25-member-states-participating/" TargetMode="External"/><Relationship Id="rId23" Type="http://schemas.openxmlformats.org/officeDocument/2006/relationships/hyperlink" Target="http://www.consilium.europa.eu/bg/press/press-releases/2017/05/18-conclusions-security-defence/" TargetMode="External"/><Relationship Id="rId28" Type="http://schemas.openxmlformats.org/officeDocument/2006/relationships/hyperlink" Target="http://ec.europa.eu/DocsRoom/documents/20372/attachments/2/translations/en/renditions/pdf" TargetMode="External"/><Relationship Id="rId36" Type="http://schemas.openxmlformats.org/officeDocument/2006/relationships/hyperlink" Target="http://www.eeas.europa.eu/archives/docs/top_stories/pdf/eugs_review_web.pdf" TargetMode="External"/><Relationship Id="rId10" Type="http://schemas.openxmlformats.org/officeDocument/2006/relationships/hyperlink" Target="http://www.consilium.europa.eu/bg/press/press-releases/2017/12/05/defence-cooperation-council-adopts-conclusions-on-eu-nato-cooperation-endorsing-common-set-of-new-proposals-for-further-joint-work/" TargetMode="External"/><Relationship Id="rId19" Type="http://schemas.openxmlformats.org/officeDocument/2006/relationships/hyperlink" Target="http://www.consilium.europa.eu/bg/meetings/european-council/2017/10/19-20/" TargetMode="External"/><Relationship Id="rId31" Type="http://schemas.openxmlformats.org/officeDocument/2006/relationships/hyperlink" Target="http://www.consilium.europa.eu/en/press/press-releases/2016/11/pdf/Council-conclusions-on-security-and-defence_pdf/" TargetMode="External"/><Relationship Id="rId44" Type="http://schemas.openxmlformats.org/officeDocument/2006/relationships/hyperlink" Target="https://europa.eu/european-union/sites/europaeu/files/docs/body/treaty_on_european_union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ilium.europa.eu/bg/press/press-releases/2016/12/06-eu-nato-joint-declaration/" TargetMode="External"/><Relationship Id="rId14" Type="http://schemas.openxmlformats.org/officeDocument/2006/relationships/hyperlink" Target="http://www.consilium.europa.eu/bg/meetings/european-council/2017/12/14-15/" TargetMode="External"/><Relationship Id="rId22" Type="http://schemas.openxmlformats.org/officeDocument/2006/relationships/hyperlink" Target="http://www.consilium.europa.eu/bg/press/press-releases/2017/06/19-eu-nato-cooperation/" TargetMode="External"/><Relationship Id="rId27" Type="http://schemas.openxmlformats.org/officeDocument/2006/relationships/hyperlink" Target="http://www.consilium.europa.eu/bg/press/press-releases/2016/12/06-eu-nato-joint-declaration/" TargetMode="External"/><Relationship Id="rId30" Type="http://schemas.openxmlformats.org/officeDocument/2006/relationships/hyperlink" Target="http://europa.eu/rapid/attachment/IP-16-4088/en/20161130%20Factsheet_EDAP.pdf" TargetMode="External"/><Relationship Id="rId35" Type="http://schemas.openxmlformats.org/officeDocument/2006/relationships/hyperlink" Target="http://www.consilium.europa.eu/bg/meetings/international-summit/2016/07/08-09/" TargetMode="External"/><Relationship Id="rId43" Type="http://schemas.openxmlformats.org/officeDocument/2006/relationships/hyperlink" Target="http://www.europarl.europa.eu/summits/kol1_en.ht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ilium.europa.eu/bg/infographics/eu-nato-joint-declaration-may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AAD0A-02FE-4B19-B946-BE9B0C5F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3724</Words>
  <Characters>21233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sklg</dc:creator>
  <cp:lastModifiedBy>sklg</cp:lastModifiedBy>
  <cp:revision>2</cp:revision>
  <dcterms:created xsi:type="dcterms:W3CDTF">2018-02-09T14:12:00Z</dcterms:created>
  <dcterms:modified xsi:type="dcterms:W3CDTF">2018-02-09T14:12:00Z</dcterms:modified>
</cp:coreProperties>
</file>