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6A" w:rsidRDefault="00216922">
      <w:pPr>
        <w:pStyle w:val="Body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INTERNATIONAL BUSINESS TRANSACTIONS</w:t>
      </w:r>
    </w:p>
    <w:p w:rsidR="00575E6A" w:rsidRDefault="00216922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University of Sofia, St. Kliment </w:t>
      </w:r>
      <w:proofErr w:type="spellStart"/>
      <w:r>
        <w:rPr>
          <w:sz w:val="28"/>
          <w:szCs w:val="28"/>
        </w:rPr>
        <w:t>Ohridsky</w:t>
      </w:r>
      <w:proofErr w:type="spellEnd"/>
    </w:p>
    <w:p w:rsidR="00575E6A" w:rsidRDefault="00216922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>Economics and Business Association Faculty</w:t>
      </w:r>
    </w:p>
    <w:p w:rsidR="00575E6A" w:rsidRDefault="00216922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>Spring 2014</w:t>
      </w:r>
    </w:p>
    <w:p w:rsidR="00575E6A" w:rsidRDefault="00575E6A">
      <w:pPr>
        <w:pStyle w:val="Body"/>
        <w:jc w:val="center"/>
        <w:rPr>
          <w:sz w:val="28"/>
          <w:szCs w:val="28"/>
        </w:rPr>
      </w:pPr>
    </w:p>
    <w:p w:rsidR="00575E6A" w:rsidRDefault="00216922">
      <w:pPr>
        <w:pStyle w:val="Body"/>
        <w:rPr>
          <w:sz w:val="24"/>
          <w:szCs w:val="24"/>
        </w:rPr>
      </w:pPr>
      <w:r>
        <w:rPr>
          <w:sz w:val="24"/>
          <w:szCs w:val="24"/>
        </w:rPr>
        <w:t>Sarah Jenkins Hobbs, Senior Lecturer &amp; Charles C. Baum Distinguished Professor of Law</w:t>
      </w:r>
    </w:p>
    <w:p w:rsidR="00575E6A" w:rsidRDefault="00216922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:  </w:t>
      </w:r>
      <w:hyperlink r:id="rId6" w:history="1">
        <w:r>
          <w:rPr>
            <w:rStyle w:val="Hyperlink0"/>
            <w:sz w:val="24"/>
            <w:szCs w:val="24"/>
          </w:rPr>
          <w:t>shjenkins@ualr.edu</w:t>
        </w:r>
      </w:hyperlink>
    </w:p>
    <w:p w:rsidR="00575E6A" w:rsidRDefault="00575E6A">
      <w:pPr>
        <w:pStyle w:val="Body"/>
        <w:rPr>
          <w:sz w:val="28"/>
          <w:szCs w:val="28"/>
        </w:rPr>
      </w:pPr>
    </w:p>
    <w:p w:rsidR="00575E6A" w:rsidRDefault="00216922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>Course Objectives: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This course will address private international business transactions with emphasis on cultural concerns in cross boarder transacting, the modern forms and patterns of transact</w:t>
      </w:r>
      <w:r>
        <w:rPr>
          <w:sz w:val="24"/>
          <w:szCs w:val="24"/>
        </w:rPr>
        <w:t>ing, Conflicts of Law, the International Sale of Goods, the primary payment model employed, policing foreign corrupt practices, dispute resolution, and corporate social responsibility.  A problems based textbook and teaching methodology that requires consi</w:t>
      </w:r>
      <w:r>
        <w:rPr>
          <w:sz w:val="24"/>
          <w:szCs w:val="24"/>
        </w:rPr>
        <w:t>stent student preparation and participation for class sessions will give students an opportunity to address both transactional and litigation issues faced by business owners, planners, and attorneys.</w:t>
      </w:r>
    </w:p>
    <w:p w:rsidR="00575E6A" w:rsidRDefault="00575E6A">
      <w:pPr>
        <w:pStyle w:val="Body"/>
        <w:rPr>
          <w:sz w:val="24"/>
          <w:szCs w:val="24"/>
        </w:rPr>
      </w:pPr>
    </w:p>
    <w:p w:rsidR="00575E6A" w:rsidRDefault="00216922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Required Textbook:  Daniel C.K. Chow &amp; Thomas J. </w:t>
      </w:r>
      <w:proofErr w:type="spellStart"/>
      <w:r>
        <w:rPr>
          <w:sz w:val="24"/>
          <w:szCs w:val="24"/>
        </w:rPr>
        <w:t>Schoen</w:t>
      </w:r>
      <w:r>
        <w:rPr>
          <w:sz w:val="24"/>
          <w:szCs w:val="24"/>
        </w:rPr>
        <w:t>baum</w:t>
      </w:r>
      <w:proofErr w:type="spellEnd"/>
      <w:r>
        <w:rPr>
          <w:sz w:val="24"/>
          <w:szCs w:val="24"/>
        </w:rPr>
        <w:t xml:space="preserve">, International Business </w:t>
      </w:r>
      <w:proofErr w:type="gramStart"/>
      <w:r>
        <w:rPr>
          <w:sz w:val="24"/>
          <w:szCs w:val="24"/>
        </w:rPr>
        <w:t>Transactions  (</w:t>
      </w:r>
      <w:proofErr w:type="gramEnd"/>
      <w:r>
        <w:rPr>
          <w:sz w:val="24"/>
          <w:szCs w:val="24"/>
        </w:rPr>
        <w:t xml:space="preserve">2nd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nl-NL"/>
        </w:rPr>
        <w:t>Wolters Kluwer</w:t>
      </w:r>
      <w:r>
        <w:rPr>
          <w:sz w:val="24"/>
          <w:szCs w:val="24"/>
        </w:rPr>
        <w:t>, 2010) (ISBN 978-0-7355-7065-8)</w:t>
      </w:r>
    </w:p>
    <w:p w:rsidR="00575E6A" w:rsidRDefault="00575E6A">
      <w:pPr>
        <w:pStyle w:val="Body"/>
        <w:rPr>
          <w:sz w:val="24"/>
          <w:szCs w:val="24"/>
        </w:rPr>
      </w:pPr>
    </w:p>
    <w:p w:rsidR="00575E6A" w:rsidRDefault="00216922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>Class Participation: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Twenty-five percent (25%) or 25 points of the final grade awarded will be based on the quality and frequency of a student</w:t>
      </w:r>
      <w:r>
        <w:rPr>
          <w:rFonts w:hAnsi="Helvetica"/>
          <w:sz w:val="24"/>
          <w:szCs w:val="24"/>
        </w:rPr>
        <w:t>’</w:t>
      </w:r>
      <w:r>
        <w:rPr>
          <w:sz w:val="24"/>
          <w:szCs w:val="24"/>
        </w:rPr>
        <w:t>s class parti</w:t>
      </w:r>
      <w:r>
        <w:rPr>
          <w:sz w:val="24"/>
          <w:szCs w:val="24"/>
        </w:rPr>
        <w:t xml:space="preserve">cipation.  To receive 20 to 25 points, a student must be present for 4/5 or 12 of 15 session and engage in a sophisticated discussion of the materials and problems which </w:t>
      </w:r>
      <w:proofErr w:type="gramStart"/>
      <w:r>
        <w:rPr>
          <w:sz w:val="24"/>
          <w:szCs w:val="24"/>
        </w:rPr>
        <w:t>includes  references</w:t>
      </w:r>
      <w:proofErr w:type="gramEnd"/>
      <w:r>
        <w:rPr>
          <w:sz w:val="24"/>
          <w:szCs w:val="24"/>
        </w:rPr>
        <w:t xml:space="preserve"> to textbook and supplemental materials used to resolve the issues</w:t>
      </w:r>
      <w:r>
        <w:rPr>
          <w:sz w:val="24"/>
          <w:szCs w:val="24"/>
        </w:rPr>
        <w:t xml:space="preserve"> presented in the problems.  To receive 15 to 19 points, a student must be present for 3/5 or 9 to 11 sessions and contribute to a moderate degree to the class discussion of the materials and problems which includes references to the textbook materials.  S</w:t>
      </w:r>
      <w:r>
        <w:rPr>
          <w:sz w:val="24"/>
          <w:szCs w:val="24"/>
        </w:rPr>
        <w:t xml:space="preserve">tudents who attend 9 or more session but do not participate in class discussion may only receive 5 to 10 participation points.  Student who attend 6 or fewer session will not be permitted to sit for the final examination.  </w:t>
      </w:r>
    </w:p>
    <w:p w:rsidR="00575E6A" w:rsidRDefault="00575E6A">
      <w:pPr>
        <w:pStyle w:val="Body"/>
        <w:rPr>
          <w:sz w:val="24"/>
          <w:szCs w:val="24"/>
        </w:rPr>
      </w:pPr>
    </w:p>
    <w:p w:rsidR="00575E6A" w:rsidRDefault="0021692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omputer</w:t>
      </w:r>
      <w:r>
        <w:rPr>
          <w:b/>
          <w:bCs/>
          <w:sz w:val="24"/>
          <w:szCs w:val="24"/>
        </w:rPr>
        <w:t xml:space="preserve"> P</w:t>
      </w:r>
      <w:r>
        <w:rPr>
          <w:b/>
          <w:bCs/>
          <w:sz w:val="24"/>
          <w:szCs w:val="24"/>
        </w:rPr>
        <w:t>olicy</w:t>
      </w:r>
    </w:p>
    <w:p w:rsidR="00575E6A" w:rsidRDefault="00216922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Note taking is </w:t>
      </w:r>
      <w:r>
        <w:rPr>
          <w:sz w:val="24"/>
          <w:szCs w:val="24"/>
        </w:rPr>
        <w:t>an important opportunity for students to engage the substantive materials and legal analyses that will be tested on the final exam.</w:t>
      </w:r>
      <w:r>
        <w:rPr>
          <w:rFonts w:hAnsi="Helvetica"/>
          <w:sz w:val="24"/>
          <w:szCs w:val="24"/>
        </w:rPr>
        <w:t xml:space="preserve">  </w:t>
      </w:r>
      <w:r>
        <w:rPr>
          <w:sz w:val="24"/>
          <w:szCs w:val="24"/>
        </w:rPr>
        <w:t>Handwritten notes require a synthesis of the ideas and concepts discussed that cannot be replicated when computers are used</w:t>
      </w:r>
      <w:r>
        <w:rPr>
          <w:sz w:val="24"/>
          <w:szCs w:val="24"/>
        </w:rPr>
        <w:t xml:space="preserve"> for note taking.</w:t>
      </w:r>
      <w:r>
        <w:rPr>
          <w:rFonts w:hAnsi="Helvetica"/>
          <w:sz w:val="24"/>
          <w:szCs w:val="24"/>
        </w:rPr>
        <w:t xml:space="preserve">  </w:t>
      </w:r>
      <w:r>
        <w:rPr>
          <w:sz w:val="24"/>
          <w:szCs w:val="24"/>
        </w:rPr>
        <w:t>Therefore, computers may not be used during class for note taking but may be used for the final examination.</w:t>
      </w:r>
      <w:r>
        <w:rPr>
          <w:rFonts w:hAnsi="Helvetica"/>
          <w:sz w:val="24"/>
          <w:szCs w:val="24"/>
        </w:rPr>
        <w:t xml:space="preserve">  </w:t>
      </w:r>
      <w:r>
        <w:rPr>
          <w:sz w:val="24"/>
          <w:szCs w:val="24"/>
        </w:rPr>
        <w:t>Students with disabilities are exempt from this policy upon certification by the Vice Dean</w:t>
      </w:r>
      <w:r>
        <w:rPr>
          <w:sz w:val="24"/>
          <w:szCs w:val="24"/>
        </w:rPr>
        <w:t>.</w:t>
      </w:r>
    </w:p>
    <w:p w:rsidR="00575E6A" w:rsidRDefault="00575E6A">
      <w:pPr>
        <w:pStyle w:val="Body"/>
        <w:rPr>
          <w:sz w:val="24"/>
          <w:szCs w:val="24"/>
        </w:rPr>
      </w:pPr>
    </w:p>
    <w:p w:rsidR="00575E6A" w:rsidRDefault="0021692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Final Examination:  </w:t>
      </w:r>
      <w:r>
        <w:rPr>
          <w:sz w:val="24"/>
          <w:szCs w:val="24"/>
        </w:rPr>
        <w:t>The final exam</w:t>
      </w:r>
      <w:r>
        <w:rPr>
          <w:sz w:val="24"/>
          <w:szCs w:val="24"/>
        </w:rPr>
        <w:t>ination will cover the problems and issues discussed during class sessions.  Laptop computers may be used for examination purposes.</w:t>
      </w:r>
    </w:p>
    <w:p w:rsidR="00575E6A" w:rsidRDefault="00575E6A">
      <w:pPr>
        <w:pStyle w:val="Body"/>
        <w:rPr>
          <w:sz w:val="28"/>
          <w:szCs w:val="28"/>
        </w:rPr>
      </w:pPr>
    </w:p>
    <w:p w:rsidR="00575E6A" w:rsidRDefault="00575E6A">
      <w:pPr>
        <w:pStyle w:val="Body"/>
        <w:jc w:val="center"/>
        <w:rPr>
          <w:sz w:val="28"/>
          <w:szCs w:val="28"/>
        </w:rPr>
      </w:pPr>
    </w:p>
    <w:p w:rsidR="00575E6A" w:rsidRDefault="00575E6A">
      <w:pPr>
        <w:pStyle w:val="Body"/>
        <w:jc w:val="center"/>
      </w:pPr>
    </w:p>
    <w:sectPr w:rsidR="00575E6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922" w:rsidRDefault="00216922">
      <w:r>
        <w:separator/>
      </w:r>
    </w:p>
  </w:endnote>
  <w:endnote w:type="continuationSeparator" w:id="0">
    <w:p w:rsidR="00216922" w:rsidRDefault="0021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6A" w:rsidRDefault="00575E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922" w:rsidRDefault="00216922">
      <w:r>
        <w:separator/>
      </w:r>
    </w:p>
  </w:footnote>
  <w:footnote w:type="continuationSeparator" w:id="0">
    <w:p w:rsidR="00216922" w:rsidRDefault="00216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6A" w:rsidRDefault="00575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A"/>
    <w:rsid w:val="00216922"/>
    <w:rsid w:val="00575E6A"/>
    <w:rsid w:val="0078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B18BA-9BEB-4B9A-823F-47DF4780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jenkins@ualr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 Sedlarski</dc:creator>
  <cp:lastModifiedBy>Teodor Sedlarski</cp:lastModifiedBy>
  <cp:revision>2</cp:revision>
  <dcterms:created xsi:type="dcterms:W3CDTF">2014-02-10T13:50:00Z</dcterms:created>
  <dcterms:modified xsi:type="dcterms:W3CDTF">2014-02-10T13:50:00Z</dcterms:modified>
</cp:coreProperties>
</file>